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2E43" w:rsidRDefault="000E2E43" w:rsidP="000E2E43">
      <w:pPr>
        <w:jc w:val="both"/>
        <w:rPr>
          <w:rFonts w:eastAsia="Times New Roman"/>
        </w:rPr>
      </w:pPr>
      <w:r>
        <w:rPr>
          <w:rFonts w:eastAsia="Times New Roman"/>
          <w:vanish/>
        </w:rPr>
        <w:t>Jueves, 27 de octubre de 2016TRABAJO Y PROMOCION DEL EMPLEOModifícan R.M NÂº 121-2011-TR, que aprueba la información de la Planilla ElectrónicaJueves, 27 de octubre de 2016TRABAJO Y PROMOCION DEL EMPLEOModifícan R.M NÂº 121-2011-TR, que aprueba la información de la Planilla Electrónica</w:t>
      </w:r>
      <w:r>
        <w:rPr>
          <w:rFonts w:eastAsia="Times New Roman"/>
        </w:rPr>
        <w:t xml:space="preserve"> </w:t>
      </w:r>
    </w:p>
    <w:p w:rsidR="000E2E43" w:rsidRDefault="000E2E43" w:rsidP="000E2E43">
      <w:pPr>
        <w:pStyle w:val="Ttulo1"/>
        <w:jc w:val="center"/>
        <w:rPr>
          <w:rFonts w:eastAsia="Times New Roman"/>
        </w:rPr>
      </w:pPr>
      <w:proofErr w:type="spellStart"/>
      <w:r>
        <w:rPr>
          <w:rFonts w:eastAsia="Times New Roman"/>
        </w:rPr>
        <w:t>Modifícan</w:t>
      </w:r>
      <w:proofErr w:type="spellEnd"/>
      <w:r>
        <w:rPr>
          <w:rFonts w:eastAsia="Times New Roman"/>
        </w:rPr>
        <w:t xml:space="preserve"> R.M Nº 121-2011-TR, que aprueba la información de la Planilla Electrónica</w:t>
      </w:r>
    </w:p>
    <w:p w:rsidR="000E2E43" w:rsidRDefault="000E2E43" w:rsidP="000E2E43">
      <w:pPr>
        <w:pStyle w:val="Ttulo2"/>
        <w:jc w:val="center"/>
        <w:rPr>
          <w:rFonts w:eastAsia="Times New Roman"/>
        </w:rPr>
      </w:pPr>
      <w:bookmarkStart w:id="0" w:name="LPTOC1"/>
      <w:bookmarkEnd w:id="0"/>
      <w:r>
        <w:rPr>
          <w:rFonts w:eastAsia="Times New Roman"/>
        </w:rPr>
        <w:t xml:space="preserve">RESOLUCION MINISTERIAL Nº </w:t>
      </w:r>
      <w:bookmarkStart w:id="1" w:name="LPHit1"/>
      <w:bookmarkEnd w:id="1"/>
      <w:r>
        <w:rPr>
          <w:rFonts w:eastAsia="Times New Roman"/>
          <w:noProof/>
        </w:rPr>
        <w:drawing>
          <wp:inline distT="0" distB="0" distL="0" distR="0" wp14:anchorId="0A821E18" wp14:editId="3CC92947">
            <wp:extent cx="123825" cy="123825"/>
            <wp:effectExtent l="0" t="0" r="9525" b="9525"/>
            <wp:docPr id="1" name="Imagen 1" descr="http://spij.minjus.gob.pe/CLP/contenidos.dll/CLPlegcargen/coleccion00000.htm/tomo00426.htm/a%C3%B1o458326.htm/mes478916.htm/dia480938.htm/sector480991.htm/sumilla480992.htm?f=images$fn=doc-hit-on.gif$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ij.minjus.gob.pe/CLP/contenidos.dll/CLPlegcargen/coleccion00000.htm/tomo00426.htm/a%C3%B1o458326.htm/mes478916.htm/dia480938.htm/sector480991.htm/sumilla480992.htm?f=images$fn=doc-hit-on.gif$3.0"/>
                    <pic:cNvPicPr>
                      <a:picLocks noChangeAspect="1" noChangeArrowheads="1"/>
                    </pic:cNvPicPr>
                  </pic:nvPicPr>
                  <pic:blipFill>
                    <a:blip r:link="rId4">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rStyle w:val="resolministerial"/>
          <w:rFonts w:eastAsia="Times New Roman"/>
        </w:rPr>
        <w:t>260-2016-TR</w:t>
      </w:r>
      <w:r>
        <w:rPr>
          <w:rFonts w:eastAsia="Times New Roman"/>
          <w:noProof/>
        </w:rPr>
        <w:drawing>
          <wp:inline distT="0" distB="0" distL="0" distR="0" wp14:anchorId="0C41693B" wp14:editId="446EA725">
            <wp:extent cx="123825" cy="123825"/>
            <wp:effectExtent l="0" t="0" r="9525" b="9525"/>
            <wp:docPr id="2" name="Imagen 2" descr="http://spij.minjus.gob.pe/CLP/contenidos.dll/CLPlegcargen/coleccion00000.htm/tomo00426.htm/a%C3%B1o458326.htm/mes478916.htm/dia480938.htm/sector480991.htm/sumilla480992.htm?f=images$fn=doc-hit-off.gif$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ij.minjus.gob.pe/CLP/contenidos.dll/CLPlegcargen/coleccion00000.htm/tomo00426.htm/a%C3%B1o458326.htm/mes478916.htm/dia480938.htm/sector480991.htm/sumilla480992.htm?f=images$fn=doc-hit-off.gif$3.0"/>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rFonts w:eastAsia="Times New Roman"/>
        </w:rPr>
        <w:br/>
      </w:r>
    </w:p>
    <w:p w:rsidR="000E2E43" w:rsidRDefault="000E2E43" w:rsidP="000E2E43">
      <w:pPr>
        <w:pStyle w:val="NormalWeb"/>
        <w:jc w:val="both"/>
      </w:pPr>
      <w:r>
        <w:rPr>
          <w:rFonts w:ascii="Arial" w:hAnsi="Arial" w:cs="Arial"/>
          <w:sz w:val="20"/>
          <w:szCs w:val="20"/>
        </w:rPr>
        <w:t>     </w:t>
      </w:r>
      <w:hyperlink w:tgtFrame="_blank" w:history="1">
        <w:r>
          <w:rPr>
            <w:rStyle w:val="Hipervnculo"/>
            <w:b/>
            <w:bCs/>
            <w:sz w:val="15"/>
            <w:szCs w:val="15"/>
          </w:rPr>
          <w:t>(*)NOTA SPIJ</w:t>
        </w:r>
      </w:hyperlink>
    </w:p>
    <w:p w:rsidR="000E2E43" w:rsidRDefault="000E2E43" w:rsidP="000E2E43">
      <w:pPr>
        <w:pStyle w:val="NormalWeb"/>
        <w:jc w:val="both"/>
      </w:pPr>
      <w:r>
        <w:rPr>
          <w:rFonts w:ascii="Arial" w:hAnsi="Arial" w:cs="Arial"/>
          <w:sz w:val="20"/>
          <w:szCs w:val="20"/>
        </w:rPr>
        <w:t>     Lima, 25 de octubre de 2016</w:t>
      </w:r>
    </w:p>
    <w:p w:rsidR="000E2E43" w:rsidRDefault="000E2E43" w:rsidP="000E2E43">
      <w:pPr>
        <w:pStyle w:val="NormalWeb"/>
        <w:jc w:val="both"/>
      </w:pPr>
      <w:r>
        <w:rPr>
          <w:rFonts w:ascii="Arial" w:hAnsi="Arial" w:cs="Arial"/>
          <w:sz w:val="20"/>
          <w:szCs w:val="20"/>
        </w:rPr>
        <w:t>     VISTOS: El Informe Técnico Nº 16-2016-MTPE/2/15.2 de la Dirección de Seguridad y Salud en el Trabajo de la Dirección General de Derechos Fundamentales y Seguridad y Salud en el Trabajo, el Informe Nº 006-2016-MTPE/3/17.1-JAHP de la Dirección de Promoción del Empleo y Autoempleo de la Dirección General de Promoción del Empleo, el Informe Nº 136-2016-MTPE/2/14.1 de la Dirección de Políticas y Normativa de Trabajo de la Dirección General de Trabajo, y el Informe Nº 2866-2016-MTPE/4/8 de la Oficina General de Asesoría Jurídica; y,</w:t>
      </w:r>
    </w:p>
    <w:p w:rsidR="000E2E43" w:rsidRDefault="000E2E43" w:rsidP="000E2E43">
      <w:pPr>
        <w:pStyle w:val="NormalWeb"/>
        <w:jc w:val="both"/>
      </w:pPr>
      <w:r>
        <w:rPr>
          <w:rFonts w:ascii="Arial" w:hAnsi="Arial" w:cs="Arial"/>
          <w:sz w:val="20"/>
          <w:szCs w:val="20"/>
        </w:rPr>
        <w:t>     CONSIDERANDO:</w:t>
      </w:r>
    </w:p>
    <w:p w:rsidR="000E2E43" w:rsidRDefault="000E2E43" w:rsidP="000E2E43">
      <w:pPr>
        <w:pStyle w:val="NormalWeb"/>
        <w:jc w:val="both"/>
      </w:pPr>
      <w:r>
        <w:rPr>
          <w:rFonts w:ascii="Arial" w:hAnsi="Arial" w:cs="Arial"/>
          <w:sz w:val="20"/>
          <w:szCs w:val="20"/>
        </w:rPr>
        <w:t>     Que, el artículo 2 de la Ley Nº 30036, Ley que regula el Teletrabajo, establece que el teletrabajo se caracteriza por el desempeño subordinado de labores sin la presencia física del trabajador, denominado “</w:t>
      </w:r>
      <w:proofErr w:type="spellStart"/>
      <w:r>
        <w:rPr>
          <w:rFonts w:ascii="Arial" w:hAnsi="Arial" w:cs="Arial"/>
          <w:sz w:val="20"/>
          <w:szCs w:val="20"/>
        </w:rPr>
        <w:t>teletrabajador</w:t>
      </w:r>
      <w:proofErr w:type="spellEnd"/>
      <w:r>
        <w:rPr>
          <w:rFonts w:ascii="Arial" w:hAnsi="Arial" w:cs="Arial"/>
          <w:sz w:val="20"/>
          <w:szCs w:val="20"/>
        </w:rPr>
        <w:t>”, en la empresa con la que mantiene vínculo laboral, a través de medios informáticos, de telecomunicaciones y análogos, mediante los cuales se ejercen a su vez el control y la supervisión de las labores;</w:t>
      </w:r>
    </w:p>
    <w:p w:rsidR="000E2E43" w:rsidRDefault="000E2E43" w:rsidP="000E2E43">
      <w:pPr>
        <w:pStyle w:val="NormalWeb"/>
        <w:jc w:val="both"/>
      </w:pPr>
      <w:r>
        <w:rPr>
          <w:rFonts w:ascii="Arial" w:hAnsi="Arial" w:cs="Arial"/>
          <w:sz w:val="20"/>
          <w:szCs w:val="20"/>
        </w:rPr>
        <w:t xml:space="preserve">     Que, la Segunda Disposición Complementaria Final del Reglamento de la Ley Nº 30036, aprobado por Decreto Supremo Nº 017-2015-TR, establece que el empleador y la entidad pública registran en la Planilla Electrónica la condición de </w:t>
      </w:r>
      <w:proofErr w:type="spellStart"/>
      <w:r>
        <w:rPr>
          <w:rFonts w:ascii="Arial" w:hAnsi="Arial" w:cs="Arial"/>
          <w:sz w:val="20"/>
          <w:szCs w:val="20"/>
        </w:rPr>
        <w:t>teletrabajador</w:t>
      </w:r>
      <w:proofErr w:type="spellEnd"/>
      <w:r>
        <w:rPr>
          <w:rFonts w:ascii="Arial" w:hAnsi="Arial" w:cs="Arial"/>
          <w:sz w:val="20"/>
          <w:szCs w:val="20"/>
        </w:rPr>
        <w:t xml:space="preserve"> en la modalidad completa o mixta aplicada, y otros criterios que se establezcan mediante resolución ministerial;</w:t>
      </w:r>
    </w:p>
    <w:p w:rsidR="000E2E43" w:rsidRDefault="000E2E43" w:rsidP="000E2E43">
      <w:pPr>
        <w:pStyle w:val="NormalWeb"/>
        <w:jc w:val="both"/>
      </w:pPr>
      <w:r>
        <w:rPr>
          <w:rFonts w:ascii="Arial" w:hAnsi="Arial" w:cs="Arial"/>
          <w:sz w:val="20"/>
          <w:szCs w:val="20"/>
        </w:rPr>
        <w:t>     Que, de otro lado, los artículos 29 y 30 de la Ley Nº 29783, Ley de Seguridad y Salud en el Trabajo, establecen que el empleador tiene la obligación de constituir un Comité de Seguridad y Salud en el Trabajo o de contar con un Supervisor de Seguridad y Salud en el Trabajo, según el número de trabajadores existentes;</w:t>
      </w:r>
    </w:p>
    <w:p w:rsidR="000E2E43" w:rsidRDefault="000E2E43" w:rsidP="000E2E43">
      <w:pPr>
        <w:pStyle w:val="NormalWeb"/>
        <w:jc w:val="both"/>
      </w:pPr>
      <w:r>
        <w:rPr>
          <w:rFonts w:ascii="Arial" w:hAnsi="Arial" w:cs="Arial"/>
          <w:sz w:val="20"/>
          <w:szCs w:val="20"/>
        </w:rPr>
        <w:t>     Que, el artículo 4 del Decreto Supremo Nº 018-2007-TR establece que el Ministerio de Trabajo y Promoción del Empleo, en coordinación con la Superintendencia Nacional de Aduanas y Administración Tributaria, elabora y aprueba mediante resolución ministerial la información de la Planilla Electrónica, las tablas paramétricas y la estructura de los archivos de importación, así como los instrumentos que resulten necesarios para el uso de la Planilla Electrónica;</w:t>
      </w:r>
    </w:p>
    <w:p w:rsidR="000E2E43" w:rsidRDefault="000E2E43" w:rsidP="000E2E43">
      <w:pPr>
        <w:pStyle w:val="NormalWeb"/>
        <w:jc w:val="both"/>
      </w:pPr>
      <w:r>
        <w:rPr>
          <w:rFonts w:ascii="Arial" w:hAnsi="Arial" w:cs="Arial"/>
          <w:sz w:val="20"/>
          <w:szCs w:val="20"/>
        </w:rPr>
        <w:t>     Que, mediante Resolución Ministerial Nº 121-2011-TR y sus normas modificatorias, se aprueba la información de la Planilla Electrónica, las tablas paramétricas, la estructura de los archivos de importación y otras medidas complementarias;</w:t>
      </w:r>
    </w:p>
    <w:p w:rsidR="000E2E43" w:rsidRDefault="000E2E43" w:rsidP="000E2E43">
      <w:pPr>
        <w:pStyle w:val="NormalWeb"/>
        <w:jc w:val="both"/>
      </w:pPr>
      <w:r>
        <w:rPr>
          <w:rFonts w:ascii="Arial" w:hAnsi="Arial" w:cs="Arial"/>
          <w:sz w:val="20"/>
          <w:szCs w:val="20"/>
        </w:rPr>
        <w:t xml:space="preserve">     Que, mediante el informe de vistos, la Dirección de Seguridad y Salud en el Trabajo de la Dirección General de Derechos Fundamentales y Seguridad y Salud en el Trabajo sustenta la modificación de la Planilla Electrónica en la necesidad de contar con una base de datos que permita identificar a los empleadores que no han cumplido con constituir un Comité de Seguridad </w:t>
      </w:r>
      <w:r>
        <w:rPr>
          <w:rFonts w:ascii="Arial" w:hAnsi="Arial" w:cs="Arial"/>
          <w:sz w:val="20"/>
          <w:szCs w:val="20"/>
        </w:rPr>
        <w:lastRenderedPageBreak/>
        <w:t>y Salud en el Trabajo o no cuentan con un Supervisor de Seguridad y Salud en el Trabajo, a fin de poder brindarles orientación y asesoramiento técnico en dicha materia;</w:t>
      </w:r>
      <w:bookmarkStart w:id="2" w:name="_GoBack"/>
      <w:bookmarkEnd w:id="2"/>
    </w:p>
    <w:p w:rsidR="000E2E43" w:rsidRDefault="000E2E43" w:rsidP="000E2E43">
      <w:pPr>
        <w:pStyle w:val="NormalWeb"/>
        <w:jc w:val="both"/>
      </w:pPr>
      <w:r>
        <w:rPr>
          <w:rFonts w:ascii="Arial" w:hAnsi="Arial" w:cs="Arial"/>
          <w:sz w:val="20"/>
          <w:szCs w:val="20"/>
        </w:rPr>
        <w:t>     Que, por las consideraciones anteriormente expuestas, es necesario emitir la resolución ministerial que modifique la Resolución Ministerial Nº 121-2011-TR, a fin de incluir las variables referidas al teletrabajo y a la información sobre seguridad y salud en el trabajo;</w:t>
      </w:r>
    </w:p>
    <w:p w:rsidR="000E2E43" w:rsidRDefault="000E2E43" w:rsidP="000E2E43">
      <w:pPr>
        <w:pStyle w:val="NormalWeb"/>
        <w:jc w:val="both"/>
      </w:pPr>
      <w:r>
        <w:rPr>
          <w:rFonts w:ascii="Arial" w:hAnsi="Arial" w:cs="Arial"/>
          <w:sz w:val="20"/>
          <w:szCs w:val="20"/>
        </w:rPr>
        <w:t xml:space="preserve">     Con las </w:t>
      </w:r>
      <w:proofErr w:type="spellStart"/>
      <w:r>
        <w:rPr>
          <w:rFonts w:ascii="Arial" w:hAnsi="Arial" w:cs="Arial"/>
          <w:sz w:val="20"/>
          <w:szCs w:val="20"/>
        </w:rPr>
        <w:t>visaciones</w:t>
      </w:r>
      <w:proofErr w:type="spellEnd"/>
      <w:r>
        <w:rPr>
          <w:rFonts w:ascii="Arial" w:hAnsi="Arial" w:cs="Arial"/>
          <w:sz w:val="20"/>
          <w:szCs w:val="20"/>
        </w:rPr>
        <w:t xml:space="preserve"> del Despacho Viceministerial de Trabajo, del Despacho Viceministerial de Promoción del Empleo y Capacitación Laboral, de la Dirección General de Trabajo, de la Dirección General de Promoción del Empleo, de la Dirección General de Derechos Fundamentales y Seguridad y Salud en el Trabajo, y de la Oficina General de Asesoría Jurídica; y,</w:t>
      </w:r>
    </w:p>
    <w:p w:rsidR="000E2E43" w:rsidRDefault="000E2E43" w:rsidP="000E2E43">
      <w:pPr>
        <w:pStyle w:val="NormalWeb"/>
        <w:jc w:val="both"/>
      </w:pPr>
      <w:r>
        <w:rPr>
          <w:rFonts w:ascii="Arial" w:hAnsi="Arial" w:cs="Arial"/>
          <w:sz w:val="20"/>
          <w:szCs w:val="20"/>
        </w:rPr>
        <w:t>     De conformidad con lo establecido en el numeral 8 del artículo 25 de la Ley Nº 29158, Ley Orgánica del Poder Ejecutivo; el artículo 11 de la Ley Nº 29381, Ley de Organización y Funciones del Ministerio de Trabajo y Promoción del Empleo; el literal d) del artículo 7 del Reglamento de Organización y Funciones del Ministerio de Trabajo y Promoción del Empleo, aprobado por Decreto Supremo Nº 004-2014-TR y el artículo 4 del Decreto Supremo Nº 018-2007-TR, modificado por el Decreto Supremo Nº 015-2010-TR y el Decreto Supremo Nº 003-2012-TR;</w:t>
      </w:r>
    </w:p>
    <w:p w:rsidR="000E2E43" w:rsidRDefault="000E2E43" w:rsidP="000E2E43">
      <w:pPr>
        <w:pStyle w:val="NormalWeb"/>
        <w:jc w:val="both"/>
      </w:pPr>
      <w:r>
        <w:rPr>
          <w:rFonts w:ascii="Arial" w:hAnsi="Arial" w:cs="Arial"/>
          <w:sz w:val="20"/>
          <w:szCs w:val="20"/>
        </w:rPr>
        <w:t>     SE RESUELVE:</w:t>
      </w:r>
    </w:p>
    <w:p w:rsidR="000E2E43" w:rsidRDefault="000E2E43" w:rsidP="000E2E43">
      <w:pPr>
        <w:pStyle w:val="NormalWeb"/>
        <w:jc w:val="both"/>
      </w:pPr>
      <w:r>
        <w:rPr>
          <w:rFonts w:ascii="Arial" w:hAnsi="Arial" w:cs="Arial"/>
          <w:b/>
          <w:bCs/>
          <w:sz w:val="20"/>
          <w:szCs w:val="20"/>
        </w:rPr>
        <w:t>     </w:t>
      </w:r>
      <w:bookmarkStart w:id="3" w:name="JD_260-2016-TR1"/>
      <w:bookmarkEnd w:id="3"/>
      <w:r>
        <w:rPr>
          <w:rFonts w:ascii="Arial" w:hAnsi="Arial" w:cs="Arial"/>
          <w:b/>
          <w:bCs/>
          <w:sz w:val="20"/>
          <w:szCs w:val="20"/>
        </w:rPr>
        <w:t>Artículo 1.- Modificación de los anexos de la Resolución Ministerial Nº 121-2011-TR</w:t>
      </w:r>
    </w:p>
    <w:p w:rsidR="000E2E43" w:rsidRDefault="000E2E43" w:rsidP="000E2E43">
      <w:pPr>
        <w:pStyle w:val="NormalWeb"/>
        <w:jc w:val="both"/>
      </w:pPr>
      <w:r>
        <w:rPr>
          <w:rFonts w:ascii="Arial" w:hAnsi="Arial" w:cs="Arial"/>
          <w:b/>
          <w:bCs/>
          <w:sz w:val="20"/>
          <w:szCs w:val="20"/>
        </w:rPr>
        <w:t>     </w:t>
      </w:r>
      <w:proofErr w:type="spellStart"/>
      <w:r>
        <w:rPr>
          <w:rFonts w:ascii="Arial" w:hAnsi="Arial" w:cs="Arial"/>
          <w:sz w:val="20"/>
          <w:szCs w:val="20"/>
        </w:rPr>
        <w:t>Modifícanse</w:t>
      </w:r>
      <w:proofErr w:type="spellEnd"/>
      <w:r>
        <w:rPr>
          <w:rFonts w:ascii="Arial" w:hAnsi="Arial" w:cs="Arial"/>
          <w:sz w:val="20"/>
          <w:szCs w:val="20"/>
        </w:rPr>
        <w:t xml:space="preserve"> los </w:t>
      </w:r>
      <w:hyperlink r:id="rId6" w:anchor="JD_anexos-RM121-2011-TR" w:history="1">
        <w:r>
          <w:rPr>
            <w:rStyle w:val="Hipervnculo"/>
          </w:rPr>
          <w:t>Anexos 1, 2 y 3</w:t>
        </w:r>
      </w:hyperlink>
      <w:r>
        <w:rPr>
          <w:rFonts w:ascii="Arial" w:hAnsi="Arial" w:cs="Arial"/>
          <w:sz w:val="20"/>
          <w:szCs w:val="20"/>
        </w:rPr>
        <w:t xml:space="preserve"> aprobados por el artículo 1 de la Resolución Ministerial Nº 121-2011-TR, que aprueba la información de la Planilla Electrónica, de la siguiente manera:</w:t>
      </w:r>
    </w:p>
    <w:p w:rsidR="000E2E43" w:rsidRDefault="000E2E43" w:rsidP="000E2E43">
      <w:pPr>
        <w:pStyle w:val="NormalWeb"/>
        <w:jc w:val="both"/>
      </w:pPr>
      <w:r>
        <w:rPr>
          <w:rFonts w:ascii="Arial" w:hAnsi="Arial" w:cs="Arial"/>
          <w:sz w:val="20"/>
          <w:szCs w:val="20"/>
        </w:rPr>
        <w:t>     a) Anexo 1: Información de la Planilla Electrónica</w:t>
      </w:r>
    </w:p>
    <w:p w:rsidR="000E2E43" w:rsidRDefault="000E2E43" w:rsidP="000E2E43">
      <w:pPr>
        <w:pStyle w:val="NormalWeb"/>
        <w:jc w:val="both"/>
      </w:pPr>
      <w:r>
        <w:rPr>
          <w:rFonts w:ascii="Arial" w:hAnsi="Arial" w:cs="Arial"/>
          <w:sz w:val="20"/>
          <w:szCs w:val="20"/>
        </w:rPr>
        <w:t>     - Se incorpora el numeral 1.17. “Indicador si es un empleador que cuenta con comité o supervisor, de seguridad y salud en el trabajo”.</w:t>
      </w:r>
    </w:p>
    <w:p w:rsidR="000E2E43" w:rsidRDefault="000E2E43" w:rsidP="000E2E43">
      <w:pPr>
        <w:pStyle w:val="NormalWeb"/>
        <w:jc w:val="both"/>
      </w:pPr>
      <w:r>
        <w:rPr>
          <w:rFonts w:ascii="Arial" w:hAnsi="Arial" w:cs="Arial"/>
          <w:sz w:val="20"/>
          <w:szCs w:val="20"/>
        </w:rPr>
        <w:t xml:space="preserve">     - Se modifica la denominación del numeral 2.2.9. </w:t>
      </w:r>
      <w:proofErr w:type="gramStart"/>
      <w:r>
        <w:rPr>
          <w:rFonts w:ascii="Arial" w:hAnsi="Arial" w:cs="Arial"/>
          <w:sz w:val="20"/>
          <w:szCs w:val="20"/>
        </w:rPr>
        <w:t>a</w:t>
      </w:r>
      <w:proofErr w:type="gramEnd"/>
      <w:r>
        <w:rPr>
          <w:rFonts w:ascii="Arial" w:hAnsi="Arial" w:cs="Arial"/>
          <w:sz w:val="20"/>
          <w:szCs w:val="20"/>
        </w:rPr>
        <w:t xml:space="preserve"> “Situación especial del trabajador: de dirección, confianza, teletrabajo, ninguna”.</w:t>
      </w:r>
    </w:p>
    <w:p w:rsidR="000E2E43" w:rsidRDefault="000E2E43" w:rsidP="000E2E43">
      <w:pPr>
        <w:pStyle w:val="NormalWeb"/>
        <w:jc w:val="both"/>
      </w:pPr>
      <w:r>
        <w:rPr>
          <w:rFonts w:ascii="Arial" w:hAnsi="Arial" w:cs="Arial"/>
          <w:sz w:val="20"/>
          <w:szCs w:val="20"/>
        </w:rPr>
        <w:t>     b) Anexo 2: Tablas Paramétricas</w:t>
      </w:r>
    </w:p>
    <w:p w:rsidR="000E2E43" w:rsidRDefault="000E2E43" w:rsidP="000E2E43">
      <w:pPr>
        <w:pStyle w:val="NormalWeb"/>
        <w:jc w:val="both"/>
      </w:pPr>
      <w:r>
        <w:rPr>
          <w:rFonts w:ascii="Arial" w:hAnsi="Arial" w:cs="Arial"/>
          <w:sz w:val="20"/>
          <w:szCs w:val="20"/>
        </w:rPr>
        <w:t>     Se incorpora la Tabla 35: “Situación especial del trabajador y teletrabajo” con su nota aclaratoria.</w:t>
      </w:r>
    </w:p>
    <w:p w:rsidR="000E2E43" w:rsidRDefault="000E2E43" w:rsidP="000E2E43">
      <w:pPr>
        <w:pStyle w:val="NormalWeb"/>
        <w:jc w:val="both"/>
      </w:pPr>
      <w:r>
        <w:rPr>
          <w:rFonts w:ascii="Arial" w:hAnsi="Arial" w:cs="Arial"/>
          <w:sz w:val="20"/>
          <w:szCs w:val="20"/>
        </w:rPr>
        <w:t>     c) Anexo 3: Estructura de los Archivos de Importación</w:t>
      </w:r>
    </w:p>
    <w:p w:rsidR="000E2E43" w:rsidRDefault="000E2E43" w:rsidP="000E2E43">
      <w:pPr>
        <w:pStyle w:val="NormalWeb"/>
        <w:jc w:val="both"/>
      </w:pPr>
      <w:r>
        <w:rPr>
          <w:rFonts w:ascii="Arial" w:hAnsi="Arial" w:cs="Arial"/>
          <w:sz w:val="20"/>
          <w:szCs w:val="20"/>
        </w:rPr>
        <w:t>     Se modifica la observación del campo 19 “Situación especial del trabajador” de la estructura 5 “Datos del empleador”, de la siguiente manera: “Ver tabla 35. No aplica a los TT: 23, 66 y 71.”</w:t>
      </w:r>
    </w:p>
    <w:p w:rsidR="000E2E43" w:rsidRDefault="000E2E43" w:rsidP="000E2E43">
      <w:pPr>
        <w:pStyle w:val="NormalWeb"/>
        <w:jc w:val="both"/>
      </w:pPr>
      <w:r>
        <w:rPr>
          <w:rFonts w:ascii="Arial" w:hAnsi="Arial" w:cs="Arial"/>
          <w:b/>
          <w:bCs/>
          <w:sz w:val="20"/>
          <w:szCs w:val="20"/>
        </w:rPr>
        <w:t>     </w:t>
      </w:r>
      <w:bookmarkStart w:id="4" w:name="JD_260-2016-TR2"/>
      <w:bookmarkEnd w:id="4"/>
      <w:r>
        <w:rPr>
          <w:rFonts w:ascii="Arial" w:hAnsi="Arial" w:cs="Arial"/>
          <w:b/>
          <w:bCs/>
          <w:sz w:val="20"/>
          <w:szCs w:val="20"/>
        </w:rPr>
        <w:t xml:space="preserve">Artículo 2.- Obligatoriedad del registro de información del </w:t>
      </w:r>
      <w:proofErr w:type="spellStart"/>
      <w:r>
        <w:rPr>
          <w:rFonts w:ascii="Arial" w:hAnsi="Arial" w:cs="Arial"/>
          <w:b/>
          <w:bCs/>
          <w:sz w:val="20"/>
          <w:szCs w:val="20"/>
        </w:rPr>
        <w:t>teletrabajador</w:t>
      </w:r>
      <w:proofErr w:type="spellEnd"/>
    </w:p>
    <w:p w:rsidR="000E2E43" w:rsidRDefault="000E2E43" w:rsidP="000E2E43">
      <w:pPr>
        <w:pStyle w:val="NormalWeb"/>
        <w:jc w:val="both"/>
      </w:pPr>
      <w:r>
        <w:rPr>
          <w:rFonts w:ascii="Arial" w:hAnsi="Arial" w:cs="Arial"/>
          <w:b/>
          <w:bCs/>
          <w:sz w:val="20"/>
          <w:szCs w:val="20"/>
        </w:rPr>
        <w:t>     </w:t>
      </w:r>
      <w:r>
        <w:rPr>
          <w:rFonts w:ascii="Arial" w:hAnsi="Arial" w:cs="Arial"/>
          <w:sz w:val="20"/>
          <w:szCs w:val="20"/>
        </w:rPr>
        <w:t xml:space="preserve">Los empleadores que empleen </w:t>
      </w:r>
      <w:proofErr w:type="spellStart"/>
      <w:r>
        <w:rPr>
          <w:rFonts w:ascii="Arial" w:hAnsi="Arial" w:cs="Arial"/>
          <w:sz w:val="20"/>
          <w:szCs w:val="20"/>
        </w:rPr>
        <w:t>teletrabajadores</w:t>
      </w:r>
      <w:proofErr w:type="spellEnd"/>
      <w:r>
        <w:rPr>
          <w:rFonts w:ascii="Arial" w:hAnsi="Arial" w:cs="Arial"/>
          <w:sz w:val="20"/>
          <w:szCs w:val="20"/>
        </w:rPr>
        <w:t xml:space="preserve"> declaran en el Registro de Información Laboral (T-REGISTRO) de la Planilla Electrónica la modalidad completa o mixta aplicada en la respectiva prestación de servicios, conforme a lo previsto en la Ley Nº 30036, Ley que regula el Teletrabajo, y su Reglamento, aprobado por Decreto Supremo Nº 017-2015-TR.</w:t>
      </w:r>
    </w:p>
    <w:p w:rsidR="000E2E43" w:rsidRDefault="000E2E43" w:rsidP="000E2E43">
      <w:pPr>
        <w:pStyle w:val="NormalWeb"/>
        <w:jc w:val="both"/>
      </w:pPr>
      <w:r>
        <w:rPr>
          <w:rFonts w:ascii="Arial" w:hAnsi="Arial" w:cs="Arial"/>
          <w:sz w:val="20"/>
          <w:szCs w:val="20"/>
        </w:rPr>
        <w:t>     Esta obligación rige a partir del 1 de noviembre de 2016.</w:t>
      </w:r>
    </w:p>
    <w:p w:rsidR="000E2E43" w:rsidRDefault="000E2E43" w:rsidP="000E2E43">
      <w:pPr>
        <w:pStyle w:val="NormalWeb"/>
        <w:jc w:val="both"/>
      </w:pPr>
      <w:r>
        <w:rPr>
          <w:rFonts w:ascii="Arial" w:hAnsi="Arial" w:cs="Arial"/>
          <w:b/>
          <w:bCs/>
          <w:sz w:val="20"/>
          <w:szCs w:val="20"/>
        </w:rPr>
        <w:t>     </w:t>
      </w:r>
      <w:bookmarkStart w:id="5" w:name="JD_260-2016-TR3"/>
      <w:bookmarkEnd w:id="5"/>
      <w:r>
        <w:rPr>
          <w:rFonts w:ascii="Arial" w:hAnsi="Arial" w:cs="Arial"/>
          <w:b/>
          <w:bCs/>
          <w:sz w:val="20"/>
          <w:szCs w:val="20"/>
        </w:rPr>
        <w:t>Artículo 3.- Obligatoriedad del registro de información de seguridad y salud en el trabajo</w:t>
      </w:r>
    </w:p>
    <w:p w:rsidR="000E2E43" w:rsidRDefault="000E2E43" w:rsidP="000E2E43">
      <w:pPr>
        <w:pStyle w:val="NormalWeb"/>
        <w:jc w:val="both"/>
      </w:pPr>
      <w:r>
        <w:rPr>
          <w:rFonts w:ascii="Arial" w:hAnsi="Arial" w:cs="Arial"/>
          <w:b/>
          <w:bCs/>
          <w:sz w:val="20"/>
          <w:szCs w:val="20"/>
        </w:rPr>
        <w:lastRenderedPageBreak/>
        <w:t>     </w:t>
      </w:r>
      <w:r>
        <w:rPr>
          <w:rFonts w:ascii="Arial" w:hAnsi="Arial" w:cs="Arial"/>
          <w:sz w:val="20"/>
          <w:szCs w:val="20"/>
        </w:rPr>
        <w:t xml:space="preserve">Los empleadores declaran en el Registro de Información Laboral (T-REGISTRO) de la Planilla Electrónica la existencia del Comité de Seguridad y Salud en el Trabajo o del Supervisor de Seguridad y Salud en el Trabajo, conforme a lo previsto en la </w:t>
      </w:r>
      <w:hyperlink r:id="rId7" w:anchor="JD_L29783" w:history="1">
        <w:r>
          <w:rPr>
            <w:rStyle w:val="Hipervnculo"/>
          </w:rPr>
          <w:t>Ley Nº 29783</w:t>
        </w:r>
      </w:hyperlink>
      <w:r>
        <w:rPr>
          <w:rFonts w:ascii="Arial" w:hAnsi="Arial" w:cs="Arial"/>
          <w:sz w:val="20"/>
          <w:szCs w:val="20"/>
        </w:rPr>
        <w:t>, Ley de Seguridad y Salud en el Trabajo, y su Reglamento, aprobado por Decreto Supremo 005-2012-TR, y demás normas complementarias</w:t>
      </w:r>
    </w:p>
    <w:p w:rsidR="000E2E43" w:rsidRDefault="000E2E43" w:rsidP="000E2E43">
      <w:pPr>
        <w:pStyle w:val="NormalWeb"/>
        <w:jc w:val="both"/>
      </w:pPr>
      <w:r>
        <w:rPr>
          <w:rFonts w:ascii="Arial" w:hAnsi="Arial" w:cs="Arial"/>
          <w:sz w:val="20"/>
          <w:szCs w:val="20"/>
        </w:rPr>
        <w:t>     Esta obligación rige a partir del 1 de noviembre de 2016.</w:t>
      </w:r>
    </w:p>
    <w:p w:rsidR="000E2E43" w:rsidRDefault="000E2E43" w:rsidP="000E2E43">
      <w:pPr>
        <w:pStyle w:val="NormalWeb"/>
        <w:jc w:val="both"/>
      </w:pPr>
      <w:r>
        <w:rPr>
          <w:rFonts w:ascii="Arial" w:hAnsi="Arial" w:cs="Arial"/>
          <w:b/>
          <w:bCs/>
          <w:sz w:val="20"/>
          <w:szCs w:val="20"/>
        </w:rPr>
        <w:t>     </w:t>
      </w:r>
      <w:bookmarkStart w:id="6" w:name="JD_260-2016-TR4"/>
      <w:bookmarkEnd w:id="6"/>
      <w:r>
        <w:rPr>
          <w:rFonts w:ascii="Arial" w:hAnsi="Arial" w:cs="Arial"/>
          <w:b/>
          <w:bCs/>
          <w:sz w:val="20"/>
          <w:szCs w:val="20"/>
        </w:rPr>
        <w:t>Artículo 4.- Rol del Sistema de Inspección del Trabajo</w:t>
      </w:r>
    </w:p>
    <w:p w:rsidR="000E2E43" w:rsidRDefault="000E2E43" w:rsidP="000E2E43">
      <w:pPr>
        <w:pStyle w:val="NormalWeb"/>
        <w:jc w:val="both"/>
      </w:pPr>
      <w:r>
        <w:rPr>
          <w:rFonts w:ascii="Arial" w:hAnsi="Arial" w:cs="Arial"/>
          <w:b/>
          <w:bCs/>
          <w:sz w:val="20"/>
          <w:szCs w:val="20"/>
        </w:rPr>
        <w:t>     </w:t>
      </w:r>
      <w:r>
        <w:rPr>
          <w:rFonts w:ascii="Arial" w:hAnsi="Arial" w:cs="Arial"/>
          <w:sz w:val="20"/>
          <w:szCs w:val="20"/>
        </w:rPr>
        <w:t>La información reportada por los empleadores en la Planilla Electrónica, conforme a lo dispuesto en la presente resolución ministerial, es susceptible de fiscalización por la Autoridad Administrativa de Trabajo competente.</w:t>
      </w:r>
    </w:p>
    <w:p w:rsidR="000E2E43" w:rsidRDefault="000E2E43" w:rsidP="000E2E43">
      <w:pPr>
        <w:pStyle w:val="NormalWeb"/>
        <w:jc w:val="both"/>
      </w:pPr>
      <w:r>
        <w:rPr>
          <w:rFonts w:ascii="Arial" w:hAnsi="Arial" w:cs="Arial"/>
          <w:sz w:val="20"/>
          <w:szCs w:val="20"/>
        </w:rPr>
        <w:t>     El incumplimiento de dichas obligaciones constituye infracción grave tipificada en el numeral 24.2 del artículo 24 del Reglamento de la Ley General de Inspección del Trabajo, aprobado mediante Decreto Supremo Nº 019-2006-TR.</w:t>
      </w:r>
    </w:p>
    <w:p w:rsidR="000E2E43" w:rsidRDefault="000E2E43" w:rsidP="000E2E43">
      <w:pPr>
        <w:pStyle w:val="NormalWeb"/>
        <w:jc w:val="both"/>
      </w:pPr>
      <w:r>
        <w:rPr>
          <w:rFonts w:ascii="Arial" w:hAnsi="Arial" w:cs="Arial"/>
          <w:b/>
          <w:bCs/>
          <w:sz w:val="20"/>
          <w:szCs w:val="20"/>
        </w:rPr>
        <w:t>     Artículo 5.- Publicación</w:t>
      </w:r>
    </w:p>
    <w:p w:rsidR="000E2E43" w:rsidRDefault="000E2E43" w:rsidP="000E2E43">
      <w:pPr>
        <w:pStyle w:val="NormalWeb"/>
        <w:jc w:val="both"/>
      </w:pPr>
      <w:r>
        <w:rPr>
          <w:rFonts w:ascii="Arial" w:hAnsi="Arial" w:cs="Arial"/>
          <w:b/>
          <w:bCs/>
          <w:sz w:val="20"/>
          <w:szCs w:val="20"/>
        </w:rPr>
        <w:t>     </w:t>
      </w:r>
      <w:r>
        <w:rPr>
          <w:rFonts w:ascii="Arial" w:hAnsi="Arial" w:cs="Arial"/>
          <w:sz w:val="20"/>
          <w:szCs w:val="20"/>
        </w:rPr>
        <w:t>Los anexos a que se refiere el artículo 1 se publican en la página web del Ministerio de Trabajo y Promoción del Empleo (www.trabajo.gob.pe) el mismo día de la publicación de la presente resolución ministerial en el Diario Oficial El Peruano, siendo responsable de dicha acción el Jefe de la Oficina General de Estadística y Tecnologías de la Información y Comunicaciones.</w:t>
      </w:r>
    </w:p>
    <w:p w:rsidR="000E2E43" w:rsidRDefault="000E2E43" w:rsidP="000E2E43">
      <w:pPr>
        <w:pStyle w:val="NormalWeb"/>
        <w:jc w:val="both"/>
      </w:pPr>
      <w:r>
        <w:rPr>
          <w:rFonts w:ascii="Arial" w:hAnsi="Arial" w:cs="Arial"/>
          <w:b/>
          <w:bCs/>
          <w:sz w:val="20"/>
          <w:szCs w:val="20"/>
        </w:rPr>
        <w:t>     </w:t>
      </w:r>
      <w:bookmarkStart w:id="7" w:name="JD_260-2016-TR6"/>
      <w:bookmarkEnd w:id="7"/>
      <w:r>
        <w:rPr>
          <w:rFonts w:ascii="Arial" w:hAnsi="Arial" w:cs="Arial"/>
          <w:b/>
          <w:bCs/>
          <w:sz w:val="20"/>
          <w:szCs w:val="20"/>
        </w:rPr>
        <w:t>Artículo 6.- Vigencia</w:t>
      </w:r>
    </w:p>
    <w:p w:rsidR="000E2E43" w:rsidRDefault="000E2E43" w:rsidP="000E2E43">
      <w:pPr>
        <w:pStyle w:val="NormalWeb"/>
        <w:jc w:val="both"/>
      </w:pPr>
      <w:r>
        <w:rPr>
          <w:rFonts w:ascii="Arial" w:hAnsi="Arial" w:cs="Arial"/>
          <w:b/>
          <w:bCs/>
          <w:sz w:val="20"/>
          <w:szCs w:val="20"/>
        </w:rPr>
        <w:t>     </w:t>
      </w:r>
      <w:r>
        <w:rPr>
          <w:rFonts w:ascii="Arial" w:hAnsi="Arial" w:cs="Arial"/>
          <w:sz w:val="20"/>
          <w:szCs w:val="20"/>
        </w:rPr>
        <w:t>La presente resolución ministerial entra en vigencia a partir del 1 de noviembre de 2016.</w:t>
      </w:r>
    </w:p>
    <w:p w:rsidR="000E2E43" w:rsidRDefault="000E2E43" w:rsidP="000E2E43">
      <w:pPr>
        <w:pStyle w:val="NormalWeb"/>
        <w:jc w:val="both"/>
      </w:pPr>
      <w:r>
        <w:rPr>
          <w:rFonts w:ascii="Arial" w:hAnsi="Arial" w:cs="Arial"/>
          <w:b/>
          <w:bCs/>
          <w:sz w:val="20"/>
          <w:szCs w:val="20"/>
        </w:rPr>
        <w:t>DISPOSICIÓN COMPLEMENTARIA TRANSITORIA</w:t>
      </w:r>
    </w:p>
    <w:p w:rsidR="000E2E43" w:rsidRDefault="000E2E43" w:rsidP="000E2E43">
      <w:pPr>
        <w:pStyle w:val="NormalWeb"/>
        <w:jc w:val="both"/>
      </w:pPr>
      <w:r>
        <w:rPr>
          <w:rFonts w:ascii="Arial" w:hAnsi="Arial" w:cs="Arial"/>
          <w:b/>
          <w:bCs/>
          <w:sz w:val="20"/>
          <w:szCs w:val="20"/>
        </w:rPr>
        <w:t>     ÚNICA: Enfoque orientador de la inspección del trabajo</w:t>
      </w:r>
    </w:p>
    <w:p w:rsidR="000E2E43" w:rsidRDefault="000E2E43" w:rsidP="000E2E43">
      <w:pPr>
        <w:pStyle w:val="NormalWeb"/>
        <w:jc w:val="both"/>
      </w:pPr>
      <w:r>
        <w:rPr>
          <w:rFonts w:ascii="Arial" w:hAnsi="Arial" w:cs="Arial"/>
          <w:b/>
          <w:bCs/>
          <w:sz w:val="20"/>
          <w:szCs w:val="20"/>
        </w:rPr>
        <w:t>     </w:t>
      </w:r>
      <w:r>
        <w:rPr>
          <w:rFonts w:ascii="Arial" w:hAnsi="Arial" w:cs="Arial"/>
          <w:sz w:val="20"/>
          <w:szCs w:val="20"/>
        </w:rPr>
        <w:t xml:space="preserve">La Autoridad </w:t>
      </w:r>
      <w:proofErr w:type="spellStart"/>
      <w:r>
        <w:rPr>
          <w:rFonts w:ascii="Arial" w:hAnsi="Arial" w:cs="Arial"/>
          <w:sz w:val="20"/>
          <w:szCs w:val="20"/>
        </w:rPr>
        <w:t>Inspectiva</w:t>
      </w:r>
      <w:proofErr w:type="spellEnd"/>
      <w:r>
        <w:rPr>
          <w:rFonts w:ascii="Arial" w:hAnsi="Arial" w:cs="Arial"/>
          <w:sz w:val="20"/>
          <w:szCs w:val="20"/>
        </w:rPr>
        <w:t xml:space="preserve"> de Trabajo brinda orientación y asistencia técnica respecto de las disposiciones contenidas en la presente resolución ministerial por un periodo de seis (6) meses contados a partir de su entrada en vigencia.</w:t>
      </w:r>
    </w:p>
    <w:p w:rsidR="000E2E43" w:rsidRDefault="000E2E43" w:rsidP="000E2E43">
      <w:pPr>
        <w:pStyle w:val="NormalWeb"/>
        <w:jc w:val="both"/>
      </w:pPr>
      <w:r>
        <w:rPr>
          <w:rFonts w:ascii="Arial" w:hAnsi="Arial" w:cs="Arial"/>
          <w:sz w:val="20"/>
          <w:szCs w:val="20"/>
        </w:rPr>
        <w:t>     Regístrese, comuníquese y publíquese.</w:t>
      </w:r>
    </w:p>
    <w:p w:rsidR="000E2E43" w:rsidRDefault="000E2E43" w:rsidP="000E2E43">
      <w:pPr>
        <w:pStyle w:val="NormalWeb"/>
        <w:jc w:val="both"/>
      </w:pPr>
      <w:r>
        <w:rPr>
          <w:rFonts w:ascii="Arial" w:hAnsi="Arial" w:cs="Arial"/>
          <w:sz w:val="20"/>
          <w:szCs w:val="20"/>
        </w:rPr>
        <w:t>     ALFONSO GRADOS CARRARO</w:t>
      </w:r>
    </w:p>
    <w:p w:rsidR="000E2E43" w:rsidRDefault="000E2E43" w:rsidP="000E2E43">
      <w:pPr>
        <w:pStyle w:val="NormalWeb"/>
        <w:spacing w:after="240" w:afterAutospacing="0"/>
        <w:jc w:val="both"/>
      </w:pPr>
      <w:r>
        <w:rPr>
          <w:rFonts w:ascii="Arial" w:hAnsi="Arial" w:cs="Arial"/>
          <w:sz w:val="20"/>
          <w:szCs w:val="20"/>
        </w:rPr>
        <w:t>     Ministro de Trabajo y Promoción del Empleo</w:t>
      </w:r>
    </w:p>
    <w:p w:rsidR="000E2E43" w:rsidRDefault="000E2E43" w:rsidP="000E2E43">
      <w:pPr>
        <w:pStyle w:val="z-Principiodelformulario"/>
        <w:jc w:val="both"/>
      </w:pPr>
      <w:r>
        <w:t>Principio del formulario</w:t>
      </w:r>
    </w:p>
    <w:p w:rsidR="000E2E43" w:rsidRDefault="000E2E43" w:rsidP="000E2E43">
      <w:pPr>
        <w:jc w:val="both"/>
        <w:rPr>
          <w:rFonts w:eastAsia="Times New Roman"/>
        </w:rPr>
      </w:pPr>
      <w:r>
        <w:rPr>
          <w:rFonts w:eastAsia="Times New Roman"/>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18pt" o:ole="">
            <v:imagedata r:id="rId8" o:title=""/>
          </v:shape>
          <w:control r:id="rId9" w:name="DefaultOcxName" w:shapeid="_x0000_i1027"/>
        </w:object>
      </w:r>
    </w:p>
    <w:p w:rsidR="000E2E43" w:rsidRDefault="000E2E43" w:rsidP="000E2E43">
      <w:pPr>
        <w:pStyle w:val="z-Finaldelformulario"/>
        <w:jc w:val="both"/>
      </w:pPr>
      <w:r>
        <w:t>Final del formulario</w:t>
      </w:r>
    </w:p>
    <w:p w:rsidR="00790522" w:rsidRDefault="00790522"/>
    <w:sectPr w:rsidR="0079052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E43"/>
    <w:rsid w:val="000E2E43"/>
    <w:rsid w:val="00790522"/>
    <w:rsid w:val="00A5192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013841-9A9A-4C23-B949-06F023AB0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2E43"/>
    <w:pPr>
      <w:spacing w:after="0" w:line="240" w:lineRule="auto"/>
    </w:pPr>
    <w:rPr>
      <w:rFonts w:ascii="Times New Roman" w:eastAsiaTheme="minorEastAsia" w:hAnsi="Times New Roman" w:cs="Times New Roman"/>
      <w:sz w:val="24"/>
      <w:szCs w:val="24"/>
      <w:lang w:eastAsia="es-PE"/>
    </w:rPr>
  </w:style>
  <w:style w:type="paragraph" w:styleId="Ttulo1">
    <w:name w:val="heading 1"/>
    <w:basedOn w:val="Normal"/>
    <w:link w:val="Ttulo1Car"/>
    <w:uiPriority w:val="9"/>
    <w:qFormat/>
    <w:rsid w:val="000E2E43"/>
    <w:pPr>
      <w:spacing w:before="100" w:beforeAutospacing="1" w:after="100" w:afterAutospacing="1"/>
      <w:outlineLvl w:val="0"/>
    </w:pPr>
    <w:rPr>
      <w:b/>
      <w:bCs/>
      <w:kern w:val="36"/>
      <w:sz w:val="48"/>
      <w:szCs w:val="48"/>
    </w:rPr>
  </w:style>
  <w:style w:type="paragraph" w:styleId="Ttulo2">
    <w:name w:val="heading 2"/>
    <w:basedOn w:val="Normal"/>
    <w:link w:val="Ttulo2Car"/>
    <w:uiPriority w:val="9"/>
    <w:qFormat/>
    <w:rsid w:val="000E2E43"/>
    <w:pPr>
      <w:spacing w:before="100" w:beforeAutospacing="1" w:after="100" w:afterAutospacing="1"/>
      <w:outlineLvl w:val="1"/>
    </w:pPr>
    <w:rPr>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E2E43"/>
    <w:rPr>
      <w:rFonts w:ascii="Times New Roman" w:eastAsiaTheme="minorEastAsia" w:hAnsi="Times New Roman" w:cs="Times New Roman"/>
      <w:b/>
      <w:bCs/>
      <w:kern w:val="36"/>
      <w:sz w:val="48"/>
      <w:szCs w:val="48"/>
      <w:lang w:eastAsia="es-PE"/>
    </w:rPr>
  </w:style>
  <w:style w:type="character" w:customStyle="1" w:styleId="Ttulo2Car">
    <w:name w:val="Título 2 Car"/>
    <w:basedOn w:val="Fuentedeprrafopredeter"/>
    <w:link w:val="Ttulo2"/>
    <w:uiPriority w:val="9"/>
    <w:rsid w:val="000E2E43"/>
    <w:rPr>
      <w:rFonts w:ascii="Times New Roman" w:eastAsiaTheme="minorEastAsia" w:hAnsi="Times New Roman" w:cs="Times New Roman"/>
      <w:b/>
      <w:bCs/>
      <w:sz w:val="36"/>
      <w:szCs w:val="36"/>
      <w:lang w:eastAsia="es-PE"/>
    </w:rPr>
  </w:style>
  <w:style w:type="character" w:customStyle="1" w:styleId="resolministerial">
    <w:name w:val="resolministerial"/>
    <w:basedOn w:val="Fuentedeprrafopredeter"/>
    <w:rsid w:val="000E2E43"/>
  </w:style>
  <w:style w:type="paragraph" w:styleId="NormalWeb">
    <w:name w:val="Normal (Web)"/>
    <w:basedOn w:val="Normal"/>
    <w:uiPriority w:val="99"/>
    <w:semiHidden/>
    <w:unhideWhenUsed/>
    <w:rsid w:val="000E2E43"/>
    <w:pPr>
      <w:spacing w:before="100" w:beforeAutospacing="1" w:after="100" w:afterAutospacing="1"/>
    </w:pPr>
  </w:style>
  <w:style w:type="character" w:styleId="Hipervnculo">
    <w:name w:val="Hyperlink"/>
    <w:basedOn w:val="Fuentedeprrafopredeter"/>
    <w:uiPriority w:val="99"/>
    <w:semiHidden/>
    <w:unhideWhenUsed/>
    <w:rsid w:val="000E2E43"/>
    <w:rPr>
      <w:color w:val="0000FF"/>
      <w:u w:val="single"/>
    </w:rPr>
  </w:style>
  <w:style w:type="paragraph" w:styleId="z-Principiodelformulario">
    <w:name w:val="HTML Top of Form"/>
    <w:basedOn w:val="Normal"/>
    <w:next w:val="Normal"/>
    <w:link w:val="z-PrincipiodelformularioCar"/>
    <w:hidden/>
    <w:uiPriority w:val="99"/>
    <w:semiHidden/>
    <w:unhideWhenUsed/>
    <w:rsid w:val="000E2E43"/>
    <w:pPr>
      <w:pBdr>
        <w:bottom w:val="single" w:sz="6" w:space="1" w:color="auto"/>
      </w:pBdr>
      <w:jc w:val="center"/>
    </w:pPr>
    <w:rPr>
      <w:rFonts w:ascii="Arial"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0E2E43"/>
    <w:rPr>
      <w:rFonts w:ascii="Arial" w:eastAsiaTheme="minorEastAsia" w:hAnsi="Arial" w:cs="Arial"/>
      <w:vanish/>
      <w:sz w:val="16"/>
      <w:szCs w:val="16"/>
      <w:lang w:eastAsia="es-PE"/>
    </w:rPr>
  </w:style>
  <w:style w:type="paragraph" w:styleId="z-Finaldelformulario">
    <w:name w:val="HTML Bottom of Form"/>
    <w:basedOn w:val="Normal"/>
    <w:next w:val="Normal"/>
    <w:link w:val="z-FinaldelformularioCar"/>
    <w:hidden/>
    <w:uiPriority w:val="99"/>
    <w:semiHidden/>
    <w:unhideWhenUsed/>
    <w:rsid w:val="000E2E43"/>
    <w:pPr>
      <w:pBdr>
        <w:top w:val="single" w:sz="6" w:space="1" w:color="auto"/>
      </w:pBdr>
      <w:jc w:val="center"/>
    </w:pPr>
    <w:rPr>
      <w:rFonts w:ascii="Arial" w:hAnsi="Arial" w:cs="Arial"/>
      <w:vanish/>
      <w:sz w:val="16"/>
      <w:szCs w:val="16"/>
    </w:rPr>
  </w:style>
  <w:style w:type="character" w:customStyle="1" w:styleId="z-FinaldelformularioCar">
    <w:name w:val="z-Final del formulario Car"/>
    <w:basedOn w:val="Fuentedeprrafopredeter"/>
    <w:link w:val="z-Finaldelformulario"/>
    <w:uiPriority w:val="99"/>
    <w:semiHidden/>
    <w:rsid w:val="000E2E43"/>
    <w:rPr>
      <w:rFonts w:ascii="Arial" w:eastAsiaTheme="minorEastAsia" w:hAnsi="Arial" w:cs="Arial"/>
      <w:vanish/>
      <w:sz w:val="16"/>
      <w:szCs w:val="16"/>
      <w:lang w:eastAsia="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webSettings" Target="webSettings.xml"/><Relationship Id="rId7" Type="http://schemas.openxmlformats.org/officeDocument/2006/relationships/hyperlink" Target="http://spij.minjus.gob.pe/CLP/contenidos.dll?f=id$id=peru%3Ar%3A214c07c$cid=peru$t=document-frame.htm$an=JD_L29783$3.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ij.minjus.gob.pe/CLP/contenidos.dll?f=id$id=peru%3Ar%3A20d5886$cid=peru$t=document-frame.htm$an=JD_anexos-RM121-2011-TR$3.0" TargetMode="External"/><Relationship Id="rId11" Type="http://schemas.openxmlformats.org/officeDocument/2006/relationships/theme" Target="theme/theme1.xml"/><Relationship Id="rId5" Type="http://schemas.openxmlformats.org/officeDocument/2006/relationships/image" Target="http://spij.minjus.gob.pe/CLP/contenidos.dll/CLPlegcargen/coleccion00000.htm/tomo00426.htm/a%C3%B1o458326.htm/mes478916.htm/dia480938.htm/sector480991.htm/sumilla480992.htm?f=images$fn=doc-hit-off.gif$3.0" TargetMode="External"/><Relationship Id="rId10" Type="http://schemas.openxmlformats.org/officeDocument/2006/relationships/fontTable" Target="fontTable.xml"/><Relationship Id="rId4" Type="http://schemas.openxmlformats.org/officeDocument/2006/relationships/image" Target="http://spij.minjus.gob.pe/CLP/contenidos.dll/CLPlegcargen/coleccion00000.htm/tomo00426.htm/a%C3%B1o458326.htm/mes478916.htm/dia480938.htm/sector480991.htm/sumilla480992.htm?f=images$fn=doc-hit-on.gif$3.0" TargetMode="External"/><Relationship Id="rId9" Type="http://schemas.openxmlformats.org/officeDocument/2006/relationships/control" Target="activeX/activeX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1322</Words>
  <Characters>7273</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mirella lourdes bernal suárez</dc:creator>
  <cp:keywords/>
  <dc:description/>
  <cp:lastModifiedBy>mirella lourdes bernal suárez</cp:lastModifiedBy>
  <cp:revision>2</cp:revision>
  <dcterms:created xsi:type="dcterms:W3CDTF">2016-11-02T15:05:00Z</dcterms:created>
  <dcterms:modified xsi:type="dcterms:W3CDTF">2016-11-02T15:07:00Z</dcterms:modified>
</cp:coreProperties>
</file>